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8" w:rsidRPr="00C645B8" w:rsidRDefault="00754408" w:rsidP="00C645B8">
      <w:pPr>
        <w:spacing w:before="100" w:beforeAutospacing="1" w:after="100" w:afterAutospacing="1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 Е Ш Е Н И Е</w:t>
      </w:r>
    </w:p>
    <w:p w:rsidR="00754408" w:rsidRPr="00C645B8" w:rsidRDefault="00754408" w:rsidP="00C645B8">
      <w:pPr>
        <w:spacing w:before="100" w:beforeAutospacing="1" w:after="100" w:afterAutospacing="1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18 июня 2010 г.                                                                       №31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7</w:t>
      </w: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г. Санкт-Петербург </w:t>
      </w:r>
    </w:p>
    <w:p w:rsidR="00754408" w:rsidRPr="00C645B8" w:rsidRDefault="00754408" w:rsidP="00C645B8">
      <w:pPr>
        <w:spacing w:before="100" w:beforeAutospacing="1" w:after="100" w:afterAutospacing="1"/>
        <w:ind w:firstLine="709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754408" w:rsidRPr="00C645B8" w:rsidRDefault="00754408" w:rsidP="00C645B8">
      <w:pPr>
        <w:spacing w:before="100" w:beforeAutospacing="1" w:after="240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техническом регулировании в таможенном союзе </w:t>
      </w: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firstLine="709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Комиссия таможенного союза</w:t>
      </w: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решила: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1. Утвердить: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Положение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 (</w:t>
      </w:r>
      <w:hyperlink r:id="rId4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 № 1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);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Положение о порядке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 (</w:t>
      </w:r>
      <w:hyperlink r:id="rId5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 № 2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);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Единые формы сертификата соответствия и декларации о соответствии (</w:t>
      </w:r>
      <w:hyperlink r:id="rId6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 № 3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);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Положение о порядке ввоза продукции (товаров), подлежащей обязательной оценке (подтверждению) соответствия, на таможенную территорию таможенного союза (</w:t>
      </w:r>
      <w:hyperlink r:id="rId7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 № 4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);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Положение о Координационном комитете по техническому регулированию, применению санитарных, ветеринарных и фитосанитарных мер (</w:t>
      </w:r>
      <w:hyperlink r:id="rId8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 № 5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);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Единый перечень продукции, подлежащей обязательной оценке (подтверждению) соответствия в рамках таможенного союза с выдачей единых документов (далее - Единый перечень продукции) (</w:t>
      </w:r>
      <w:hyperlink r:id="rId9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 № 6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).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2. Поручить уполномоченному органу Российской Федерации совместно с уполномоченными органами Республики Беларусь и Республики Казахстан подготовить к опубликованию Единый перечень продукции, включающий перечень нормативных документов, устанавливающих единые обязательные требования к вышеуказанной продукции из числа межгосударственных и национальных (государственных) стандартов государств-членов таможенного союза.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3. Секретариату Комиссии таможенного союза, уполномоченным  органам Российской Федерации, Республики Беларусь и Республики Казахстан в срок до 30 июня 2010 года опубликовать Единый перечень продукции с учетом пункта 2 настоящего Решения.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4. Правительствам Республики Беларусь, Республики Казахстан и Российской Федерации с 1 июля 2010 года применять перечни продукции, подлежащей обязательной оценке (подтверждению) соответствия, согласно законодательству государств-членов таможенного союза (далее – национальные перечни) и Единый перечень продукции в соответствии с </w:t>
      </w:r>
      <w:hyperlink r:id="rId10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№ 6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5. Уполномоченным органам Республики Беларусь, Республики Казахстан и Российской Федерации с 1 июля 2010 года обеспечить: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формирование и ведение национальных частей Единого реестра органов по сертификации и испытательных лабораторий (центров) таможенного союза в соответствии с </w:t>
      </w:r>
      <w:hyperlink r:id="rId11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№ 1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формирование и ведение национальных частей Единого реестра выданных сертификатов соответствия и зарегистрированных деклараций о соответствии, оформленных по Единой форме, а также оперативное размещение их на своих официальных сайтах с обеспечением  доступа к ним в соответствии с </w:t>
      </w:r>
      <w:hyperlink r:id="rId12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№ 2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выдачу изготовленных по Единой форме бланков сертификатов соответствия в соответствии с </w:t>
      </w:r>
      <w:hyperlink r:id="rId13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№ 3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организацию работ по сертификации и регистрации деклараций о соответствии на продукцию, включенную в Единый перечень продукции, оформленных в соответствии с </w:t>
      </w:r>
      <w:hyperlink r:id="rId14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№ 3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6. Уполномоченным органам Республики Беларусь, Республики Казахстан и Российской Федерации в сфере таможенного администрирования с 1 июля 2010 года при осуществлении таможенного контроля продукции (товаров), включенных в Единый перечень продукции и национальные перечни, руководствоваться </w:t>
      </w:r>
      <w:hyperlink r:id="rId15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№ 4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7. Сторонам в срок  до 1 октября 2010 года подготовить предложения по унификации с 1 января 2011 года номенклатур продукции национальных перечней, с учетом: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применения обязательной сертификации только в отношении продукции, обращение которой связано с высоким риском нанесения ущерба жизни и здоровью граждан;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недопущения одновременной обязательной оценки (подтверждения) соответствия готовой продукции и ее составных частей (материалов, комплектующих изделий и узлов).</w:t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firstLine="709"/>
        <w:jc w:val="both"/>
        <w:rPr>
          <w:rFonts w:ascii="Arial" w:hAnsi="Arial" w:cs="Arial"/>
          <w:color w:val="666666"/>
          <w:sz w:val="18"/>
          <w:szCs w:val="18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8. Уполномоченным органам Республики Беларусь, Республики Казахстан и Российской Федерации  в срок до 1 октября 2010 года подготовить предложения о включении с 1 января 2011 года парфюмерно-косметической и пищевой продукции в Единый перечень продукции.</w:t>
      </w:r>
      <w:r w:rsidRPr="00C645B8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firstLine="708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C645B8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.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 Установить, что:</w:t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firstLine="90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в срок до 1 января 2012 года на продукцию, включенную в Единый перечень продукции, по выбору заявителя выдаются сертификаты соответствия и оформляются декларации о соответствии по единым формам и/или сертификаты соответствия и декларации о соответствии согласно законодательствам государств-членов таможенного союза;</w:t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firstLine="90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на продукцию зарубежных изготовителей, расположенных не на территории государств – членов таможенного союза, оформляются сертификаты соответствия или декларации о соответствии согласно законодательству государства – члена таможенного союза, либо сертификаты соответствия по Единой форме;</w:t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10. Установить, что маркировка продукции, включенной в Единый перечень продукции, осуществляется в соответствии с законодательством страны назначения.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11.</w:t>
      </w:r>
      <w:r w:rsidRPr="00C645B8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Уполномоченному органу Российской Федерации в срок до 25 июня 2010 года представить уполномоченным органам Республики Беларусь и Республики Казахстан, согласованный государствами - членами таможенного союза макет бланка сертификата, выдаваемого по единой форме в соответствии с </w:t>
      </w:r>
      <w:hyperlink r:id="rId16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3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Решению, для дальнейшего его изготовления в государствах-членах таможенного союза.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12. Сторонам: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12.1.</w:t>
      </w:r>
      <w:r w:rsidRPr="00C645B8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совместно с Секретариатом Комиссии таможенного союза в срок до 1 августа 2010 года разработать и внести на рассмотрение Комиссии основные принципы гармонизации законодательств государств – членов таможенного союза в части мер ответственности, применяемых к юридическим и физическим лицам за нарушение требований законодательства государств – членов таможенного союза и законодательства таможенного союза в сфере технического регулирования, в том числе за недостоверное (необоснованное) декларирование;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подготовить предложения по внесению  до 1 января 2011 года изменений</w:t>
      </w:r>
      <w:r w:rsidRPr="00C645B8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в законодательства государств – членов таможенного союза в соответствии с указанными принципами, одобренными Комиссией;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12.2. в срок до 1 сентября 2010 года подготовить предложения: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- по переходу с 1 января 2011 года на уведомительный (заявительный) порядок подачи декларации о соответствии, в том числе с обеспечением возможности ее подачи в уполномоченные органы в области технического регулирования государств – членов таможенного союза в электронной форме;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strike/>
          <w:color w:val="000000"/>
          <w:sz w:val="24"/>
          <w:szCs w:val="24"/>
          <w:lang w:eastAsia="ru-RU"/>
        </w:rPr>
        <w:t>-</w:t>
      </w:r>
      <w:r w:rsidRPr="00C645B8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по гармонизации законодательства таможенного союза в области подтверждения соответствия с учетом практики Европейского союза, в части перехода от обязательной сертификации к декларированию соответствия.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13.</w:t>
      </w:r>
      <w:r w:rsidRPr="00C645B8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Сторонам в срок до 25 июня 2010 года представить в Секретариат Комиссии таможенного союза  перечень органов по сертификации и испытательных лабораторий (центров) в соответствии с </w:t>
      </w:r>
      <w:hyperlink r:id="rId17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Приложением № 1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Решению с уведомлением двух других Сторон о принятом решении.</w:t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14. Просить Стороны рассмотреть проект Порядка разработки, принятия, внесения изменений и отмены технического регламента таможенного союза и в срок до 10 июля 2010 года представить в Секретариат Комиссии таможенного союза (</w:t>
      </w:r>
      <w:hyperlink r:id="rId18" w:history="1">
        <w:r w:rsidRPr="00C645B8">
          <w:rPr>
            <w:rFonts w:ascii="Arial" w:hAnsi="Arial" w:cs="Arial"/>
            <w:b/>
            <w:bCs/>
            <w:color w:val="3966BF"/>
            <w:sz w:val="24"/>
            <w:szCs w:val="24"/>
            <w:lang w:eastAsia="ru-RU"/>
          </w:rPr>
          <w:t>Приложение №7</w:t>
        </w:r>
      </w:hyperlink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).</w:t>
      </w:r>
    </w:p>
    <w:p w:rsidR="00754408" w:rsidRPr="00C645B8" w:rsidRDefault="00754408" w:rsidP="00C645B8">
      <w:pPr>
        <w:tabs>
          <w:tab w:val="left" w:pos="993"/>
        </w:tabs>
        <w:spacing w:before="100" w:beforeAutospacing="1" w:after="100" w:afterAutospacing="1" w:line="300" w:lineRule="atLeast"/>
        <w:ind w:firstLine="720"/>
        <w:jc w:val="both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15.</w:t>
      </w:r>
      <w:r w:rsidRPr="00C645B8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645B8">
        <w:rPr>
          <w:rFonts w:ascii="Arial" w:hAnsi="Arial" w:cs="Arial"/>
          <w:color w:val="000000"/>
          <w:sz w:val="24"/>
          <w:szCs w:val="24"/>
          <w:lang w:eastAsia="ru-RU"/>
        </w:rPr>
        <w:t>Пункт 1 настоящего Решения вступает в силу с 1 июля 2010 года.</w:t>
      </w:r>
    </w:p>
    <w:p w:rsidR="00754408" w:rsidRPr="00C645B8" w:rsidRDefault="00754408" w:rsidP="00C645B8">
      <w:pPr>
        <w:spacing w:before="100" w:beforeAutospacing="1" w:after="100" w:afterAutospacing="1" w:line="300" w:lineRule="atLeast"/>
        <w:ind w:right="279" w:firstLine="709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54408" w:rsidRPr="00C645B8" w:rsidRDefault="00754408" w:rsidP="00C645B8">
      <w:pPr>
        <w:spacing w:before="100" w:beforeAutospacing="1" w:after="100" w:afterAutospacing="1"/>
        <w:ind w:right="279" w:firstLine="709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Члены Комиссии таможенного союза:</w:t>
      </w:r>
    </w:p>
    <w:p w:rsidR="00754408" w:rsidRPr="00C645B8" w:rsidRDefault="00754408" w:rsidP="00C645B8">
      <w:pPr>
        <w:spacing w:before="100" w:beforeAutospacing="1" w:after="100" w:afterAutospacing="1"/>
        <w:ind w:right="279" w:firstLine="709"/>
        <w:jc w:val="center"/>
        <w:rPr>
          <w:rFonts w:ascii="Arial" w:hAnsi="Arial" w:cs="Arial"/>
          <w:color w:val="666666"/>
          <w:sz w:val="24"/>
          <w:szCs w:val="24"/>
          <w:lang w:eastAsia="ru-RU"/>
        </w:rPr>
      </w:pPr>
      <w:r w:rsidRPr="00C645B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173"/>
        <w:gridCol w:w="3603"/>
        <w:gridCol w:w="3078"/>
      </w:tblGrid>
      <w:tr w:rsidR="00754408" w:rsidRPr="007A2825" w:rsidTr="00C645B8">
        <w:trPr>
          <w:jc w:val="center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08" w:rsidRPr="00C645B8" w:rsidRDefault="00754408" w:rsidP="00C645B8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Республики</w:t>
            </w: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           Беларусь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08" w:rsidRPr="00C645B8" w:rsidRDefault="00754408" w:rsidP="00C645B8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Республики</w:t>
            </w: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          Казахстан</w:t>
            </w: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08" w:rsidRPr="00C645B8" w:rsidRDefault="00754408" w:rsidP="00C645B8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Российской</w:t>
            </w: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              Федерации</w:t>
            </w:r>
          </w:p>
        </w:tc>
      </w:tr>
      <w:tr w:rsidR="00754408" w:rsidRPr="007A2825" w:rsidTr="00C645B8">
        <w:trPr>
          <w:jc w:val="center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08" w:rsidRPr="00C645B8" w:rsidRDefault="00754408" w:rsidP="00C645B8">
            <w:pPr>
              <w:spacing w:before="120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:rsidR="00754408" w:rsidRPr="00C645B8" w:rsidRDefault="00754408" w:rsidP="00C645B8">
            <w:pPr>
              <w:spacing w:before="120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А. Кобяков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08" w:rsidRPr="00C645B8" w:rsidRDefault="00754408" w:rsidP="00C645B8">
            <w:pPr>
              <w:spacing w:before="120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:rsidR="00754408" w:rsidRPr="00C645B8" w:rsidRDefault="00754408" w:rsidP="00C645B8">
            <w:pPr>
              <w:spacing w:before="120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У. Шукеев </w:t>
            </w: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08" w:rsidRPr="00C645B8" w:rsidRDefault="00754408" w:rsidP="00C645B8">
            <w:pPr>
              <w:spacing w:before="120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:rsidR="00754408" w:rsidRPr="00C645B8" w:rsidRDefault="00754408" w:rsidP="00C645B8">
            <w:pPr>
              <w:spacing w:before="120" w:after="100" w:afterAutospacing="1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45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И. Шувалов</w:t>
            </w:r>
          </w:p>
        </w:tc>
      </w:tr>
    </w:tbl>
    <w:p w:rsidR="00754408" w:rsidRDefault="00754408"/>
    <w:sectPr w:rsidR="00754408" w:rsidSect="007D31F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5B8"/>
    <w:rsid w:val="00311AE2"/>
    <w:rsid w:val="004579BB"/>
    <w:rsid w:val="004D43E6"/>
    <w:rsid w:val="00523890"/>
    <w:rsid w:val="005D0133"/>
    <w:rsid w:val="006F4A15"/>
    <w:rsid w:val="00754408"/>
    <w:rsid w:val="007A2825"/>
    <w:rsid w:val="007D31FB"/>
    <w:rsid w:val="009A2762"/>
    <w:rsid w:val="009F0C7C"/>
    <w:rsid w:val="00C6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15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645B8"/>
    <w:rPr>
      <w:rFonts w:cs="Times New Roman"/>
      <w:b/>
      <w:bCs/>
    </w:rPr>
  </w:style>
  <w:style w:type="paragraph" w:customStyle="1" w:styleId="nospacing">
    <w:name w:val="nospacing"/>
    <w:basedOn w:val="Normal"/>
    <w:uiPriority w:val="99"/>
    <w:rsid w:val="00C645B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ouz.ru/KTS/KTS17/Pages/P5_319.aspx" TargetMode="External"/><Relationship Id="rId13" Type="http://schemas.openxmlformats.org/officeDocument/2006/relationships/hyperlink" Target="http://www.tsouz.ru/KTS/KTS17/Documents/&#1055;&#1088;.3%20&#1045;&#1076;&#1080;&#1085;&#1072;&#1103;%20&#1092;&#1086;&#1088;&#1084;&#1072;.doc" TargetMode="External"/><Relationship Id="rId18" Type="http://schemas.openxmlformats.org/officeDocument/2006/relationships/hyperlink" Target="http://www.tsouz.ru/KTS/KTS17/Pages/P7_31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ouz.ru/KTS/KTS17/Pages/P4_319.aspx" TargetMode="External"/><Relationship Id="rId12" Type="http://schemas.openxmlformats.org/officeDocument/2006/relationships/hyperlink" Target="http://www.tsouz.ru/KTS/KTS17/Pages/P2_319.aspx" TargetMode="External"/><Relationship Id="rId17" Type="http://schemas.openxmlformats.org/officeDocument/2006/relationships/hyperlink" Target="http://www.tsouz.ru/KTS/KTS17/Pages/P1_319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souz.ru/KTS/KTS17/Documents/&#1055;&#1088;.3%20&#1045;&#1076;&#1080;&#1085;&#1072;&#1103;%20&#1092;&#1086;&#1088;&#1084;&#1072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souz.ru/KTS/KTS17/Documents/&#1055;&#1088;.3%20&#1045;&#1076;&#1080;&#1085;&#1072;&#1103;%20&#1092;&#1086;&#1088;&#1084;&#1072;.doc" TargetMode="External"/><Relationship Id="rId11" Type="http://schemas.openxmlformats.org/officeDocument/2006/relationships/hyperlink" Target="http://www.tsouz.ru/KTS/KTS17/Pages/P1_319.aspx" TargetMode="External"/><Relationship Id="rId5" Type="http://schemas.openxmlformats.org/officeDocument/2006/relationships/hyperlink" Target="http://www.tsouz.ru/KTS/KTS17/Pages/P2_319.aspx" TargetMode="External"/><Relationship Id="rId15" Type="http://schemas.openxmlformats.org/officeDocument/2006/relationships/hyperlink" Target="http://www.tsouz.ru/KTS/KTS17/Pages/P4_319.aspx" TargetMode="External"/><Relationship Id="rId10" Type="http://schemas.openxmlformats.org/officeDocument/2006/relationships/hyperlink" Target="http://www.tsouz.ru/KTS/KTS17/Pages/P6_319.asp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souz.ru/KTS/KTS17/Pages/P1_319.aspx" TargetMode="External"/><Relationship Id="rId9" Type="http://schemas.openxmlformats.org/officeDocument/2006/relationships/hyperlink" Target="http://www.tsouz.ru/KTS/KTS17/Pages/P6_319.aspx" TargetMode="External"/><Relationship Id="rId14" Type="http://schemas.openxmlformats.org/officeDocument/2006/relationships/hyperlink" Target="http://www.tsouz.ru/KTS/KTS17/Documents/&#1055;&#1088;.3%20&#1045;&#1076;&#1080;&#1085;&#1072;&#1103;%20&#1092;&#1086;&#1088;&#1084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1281</Words>
  <Characters>7302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</cp:revision>
  <dcterms:created xsi:type="dcterms:W3CDTF">2011-06-10T05:53:00Z</dcterms:created>
  <dcterms:modified xsi:type="dcterms:W3CDTF">2012-01-16T06:15:00Z</dcterms:modified>
</cp:coreProperties>
</file>